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804"/>
        <w:gridCol w:w="2977"/>
      </w:tblGrid>
      <w:tr w:rsidR="0073408E" w14:paraId="068C89C8" w14:textId="77777777" w:rsidTr="0073408E">
        <w:trPr>
          <w:trHeight w:val="380"/>
        </w:trPr>
        <w:tc>
          <w:tcPr>
            <w:tcW w:w="6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5" w:color="auto" w:fill="auto"/>
          </w:tcPr>
          <w:p w14:paraId="469F8321" w14:textId="7497C584" w:rsidR="0073408E" w:rsidRPr="00531432" w:rsidRDefault="0000458D" w:rsidP="003D056B">
            <w:pPr>
              <w:framePr w:w="10144" w:h="646" w:hSpace="181" w:wrap="notBeside" w:vAnchor="page" w:hAnchor="page" w:x="1163" w:y="840"/>
              <w:spacing w:after="20"/>
            </w:pPr>
            <w:r>
              <w:rPr>
                <w:rFonts w:ascii="Century Gothic" w:hAnsi="Century Gothic"/>
                <w:b/>
                <w:sz w:val="30"/>
              </w:rPr>
              <w:t>Gender Pay Gap – UK Divisions</w:t>
            </w:r>
          </w:p>
        </w:tc>
        <w:tc>
          <w:tcPr>
            <w:tcW w:w="2977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076544A" w14:textId="77777777" w:rsidR="0073408E" w:rsidRPr="00531432" w:rsidRDefault="0073408E" w:rsidP="003D056B">
            <w:pPr>
              <w:framePr w:w="10144" w:h="646" w:hSpace="181" w:wrap="notBeside" w:vAnchor="page" w:hAnchor="page" w:x="1163" w:y="840"/>
              <w:spacing w:after="20"/>
            </w:pPr>
          </w:p>
        </w:tc>
      </w:tr>
    </w:tbl>
    <w:p w14:paraId="588E6A8A" w14:textId="77777777" w:rsidR="0073408E" w:rsidRDefault="0073408E" w:rsidP="0073408E">
      <w:pPr>
        <w:pStyle w:val="EnvelopeReturn"/>
        <w:framePr w:w="10144" w:h="646" w:hSpace="181" w:wrap="notBeside" w:vAnchor="page" w:hAnchor="page" w:x="1163" w:y="840"/>
        <w:rPr>
          <w:sz w:val="2"/>
          <w:szCs w:val="2"/>
        </w:rPr>
      </w:pPr>
    </w:p>
    <w:p w14:paraId="305006C8" w14:textId="77777777" w:rsidR="00AA4687" w:rsidRDefault="00AA4687" w:rsidP="0073408E">
      <w:pPr>
        <w:pStyle w:val="EnvelopeReturn"/>
        <w:framePr w:w="10144" w:h="646" w:hSpace="181" w:wrap="notBeside" w:vAnchor="page" w:hAnchor="page" w:x="1163" w:y="840"/>
        <w:rPr>
          <w:i/>
          <w:sz w:val="14"/>
          <w:szCs w:val="14"/>
        </w:rPr>
      </w:pPr>
    </w:p>
    <w:p w14:paraId="6A9A0267" w14:textId="36E4F972" w:rsidR="0073408E" w:rsidRPr="00AA4687" w:rsidRDefault="002252EF" w:rsidP="0073408E">
      <w:pPr>
        <w:pStyle w:val="EnvelopeReturn"/>
        <w:framePr w:w="10144" w:h="646" w:hSpace="181" w:wrap="notBeside" w:vAnchor="page" w:hAnchor="page" w:x="1163" w:y="840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Posted </w:t>
      </w:r>
      <w:r w:rsidR="00AD4D75">
        <w:rPr>
          <w:i/>
          <w:sz w:val="14"/>
          <w:szCs w:val="14"/>
        </w:rPr>
        <w:t>Feb</w:t>
      </w:r>
      <w:r w:rsidR="00937DCB">
        <w:rPr>
          <w:i/>
          <w:sz w:val="14"/>
          <w:szCs w:val="14"/>
        </w:rPr>
        <w:t xml:space="preserve"> 202</w:t>
      </w:r>
      <w:r w:rsidR="00AD4D75">
        <w:rPr>
          <w:i/>
          <w:sz w:val="14"/>
          <w:szCs w:val="14"/>
        </w:rPr>
        <w:t>2</w:t>
      </w:r>
    </w:p>
    <w:p w14:paraId="315B1431" w14:textId="77777777" w:rsidR="0073408E" w:rsidRPr="007050AA" w:rsidRDefault="0073408E" w:rsidP="0073408E">
      <w:pPr>
        <w:pStyle w:val="BodyText"/>
        <w:framePr w:w="10144" w:h="646" w:hSpace="181" w:wrap="notBeside" w:vAnchor="page" w:hAnchor="page" w:x="1163" w:y="840"/>
        <w:spacing w:after="20"/>
        <w:ind w:right="-2"/>
        <w:rPr>
          <w:sz w:val="2"/>
          <w:szCs w:val="2"/>
        </w:rPr>
      </w:pPr>
    </w:p>
    <w:p w14:paraId="0E226F6D" w14:textId="77777777" w:rsidR="000F2911" w:rsidRPr="002F5CCC" w:rsidRDefault="000F2911">
      <w:pPr>
        <w:rPr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975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53"/>
      </w:tblGrid>
      <w:tr w:rsidR="00B63B78" w14:paraId="61F79C99" w14:textId="77777777" w:rsidTr="00B63B78">
        <w:trPr>
          <w:trHeight w:val="380"/>
        </w:trPr>
        <w:tc>
          <w:tcPr>
            <w:tcW w:w="9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482581F6" w14:textId="2B6CD6E8" w:rsidR="00B63B78" w:rsidRDefault="00E33562" w:rsidP="00B63B78">
            <w:pPr>
              <w:spacing w:after="20"/>
              <w:rPr>
                <w:szCs w:val="18"/>
              </w:rPr>
            </w:pPr>
            <w:r>
              <w:rPr>
                <w:b/>
                <w:szCs w:val="18"/>
              </w:rPr>
              <w:t>Gender Pay Gap Data</w:t>
            </w:r>
            <w:r w:rsidR="002252EF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@</w:t>
            </w:r>
            <w:r w:rsidR="002252EF">
              <w:rPr>
                <w:b/>
                <w:szCs w:val="18"/>
              </w:rPr>
              <w:t xml:space="preserve"> 5</w:t>
            </w:r>
            <w:r w:rsidR="002252EF" w:rsidRPr="002252EF">
              <w:rPr>
                <w:b/>
                <w:szCs w:val="18"/>
                <w:vertAlign w:val="superscript"/>
              </w:rPr>
              <w:t>th</w:t>
            </w:r>
            <w:r w:rsidR="00937DCB">
              <w:rPr>
                <w:b/>
                <w:szCs w:val="18"/>
              </w:rPr>
              <w:t xml:space="preserve"> April </w:t>
            </w:r>
            <w:r w:rsidR="00AD4D75">
              <w:rPr>
                <w:b/>
                <w:szCs w:val="18"/>
              </w:rPr>
              <w:t>202</w:t>
            </w:r>
            <w:r w:rsidR="00E55B17">
              <w:rPr>
                <w:b/>
                <w:szCs w:val="18"/>
              </w:rPr>
              <w:t>2</w:t>
            </w:r>
          </w:p>
        </w:tc>
      </w:tr>
    </w:tbl>
    <w:p w14:paraId="494AAEAF" w14:textId="77777777" w:rsidR="00E33562" w:rsidRDefault="00E33562" w:rsidP="00937DCB">
      <w:pPr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</w:p>
    <w:p w14:paraId="69C79F13" w14:textId="1DD6821F" w:rsidR="00FA0F8F" w:rsidRPr="00937DCB" w:rsidRDefault="00937DCB" w:rsidP="00937DCB">
      <w:pPr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Total employees </w:t>
      </w:r>
      <w:proofErr w:type="gramStart"/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at</w:t>
      </w:r>
      <w:proofErr w:type="gramEnd"/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5</w:t>
      </w:r>
      <w:r w:rsidRPr="00937DCB">
        <w:rPr>
          <w:rFonts w:ascii="Calibri" w:eastAsia="Calibri" w:hAnsi="Calibri" w:cs="Times New Roman"/>
          <w:b/>
          <w:color w:val="auto"/>
          <w:sz w:val="22"/>
          <w:szCs w:val="22"/>
          <w:vertAlign w:val="superscript"/>
          <w:lang w:eastAsia="en-US"/>
        </w:rPr>
        <w:t>th</w:t>
      </w: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April 20</w:t>
      </w:r>
      <w:r w:rsidR="00FA0F8F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2</w:t>
      </w:r>
      <w:r w:rsidR="00E55B17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2</w:t>
      </w: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:  2</w:t>
      </w:r>
      <w:r w:rsidR="00E55B17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35</w:t>
      </w:r>
    </w:p>
    <w:p w14:paraId="5E6DA84F" w14:textId="77777777" w:rsidR="00937DCB" w:rsidRPr="00937DCB" w:rsidRDefault="00937DCB" w:rsidP="00937DCB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Female – 24%     </w:t>
      </w:r>
    </w:p>
    <w:p w14:paraId="2FDECFFE" w14:textId="77777777" w:rsidR="00937DCB" w:rsidRPr="00937DCB" w:rsidRDefault="00937DCB" w:rsidP="00937DCB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Male – 76%         </w:t>
      </w:r>
    </w:p>
    <w:p w14:paraId="11DE0F54" w14:textId="54EA2261" w:rsidR="00937DCB" w:rsidRPr="00937DCB" w:rsidRDefault="00937DCB" w:rsidP="00937DCB">
      <w:pPr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Pay difference between men &amp; women </w:t>
      </w:r>
      <w:proofErr w:type="gramStart"/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at</w:t>
      </w:r>
      <w:proofErr w:type="gramEnd"/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5</w:t>
      </w:r>
      <w:r w:rsidRPr="00937DCB">
        <w:rPr>
          <w:rFonts w:ascii="Calibri" w:eastAsia="Calibri" w:hAnsi="Calibri" w:cs="Times New Roman"/>
          <w:b/>
          <w:color w:val="auto"/>
          <w:sz w:val="22"/>
          <w:szCs w:val="22"/>
          <w:vertAlign w:val="superscript"/>
          <w:lang w:eastAsia="en-US"/>
        </w:rPr>
        <w:t>th</w:t>
      </w: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April 20</w:t>
      </w:r>
      <w:r w:rsidR="00B93F70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22</w:t>
      </w:r>
    </w:p>
    <w:p w14:paraId="0EFECB02" w14:textId="267D0983" w:rsidR="00937DCB" w:rsidRPr="00937DCB" w:rsidRDefault="00937DCB" w:rsidP="00937DCB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Mean Gender Pay Gap is </w:t>
      </w:r>
      <w:r w:rsidR="006B046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17.5</w:t>
      </w: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%</w:t>
      </w:r>
    </w:p>
    <w:p w14:paraId="5FBEB5C2" w14:textId="14401DB0" w:rsidR="00937DCB" w:rsidRPr="00937DCB" w:rsidRDefault="00937DCB" w:rsidP="00937DCB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Median Gender Pay Gap is </w:t>
      </w:r>
      <w:r w:rsidR="006B046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13.3</w:t>
      </w: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%</w:t>
      </w:r>
    </w:p>
    <w:p w14:paraId="324FCFDC" w14:textId="4025B5A8" w:rsidR="00937DCB" w:rsidRPr="00937DCB" w:rsidRDefault="00937DCB" w:rsidP="00937DCB">
      <w:pPr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Bonus difference between men &amp; women in the 12 months before 5</w:t>
      </w:r>
      <w:r w:rsidRPr="00937DCB">
        <w:rPr>
          <w:rFonts w:ascii="Calibri" w:eastAsia="Calibri" w:hAnsi="Calibri" w:cs="Times New Roman"/>
          <w:b/>
          <w:color w:val="auto"/>
          <w:sz w:val="22"/>
          <w:szCs w:val="22"/>
          <w:vertAlign w:val="superscript"/>
          <w:lang w:eastAsia="en-US"/>
        </w:rPr>
        <w:t>th</w:t>
      </w: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 xml:space="preserve"> April 20</w:t>
      </w:r>
      <w:r w:rsidR="00B93F70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22</w:t>
      </w:r>
    </w:p>
    <w:p w14:paraId="3AE5F27B" w14:textId="784B0437" w:rsidR="00937DCB" w:rsidRPr="00937DCB" w:rsidRDefault="00937DCB" w:rsidP="00937DCB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Mean Gender Bonus Gap is </w:t>
      </w:r>
      <w:r w:rsidR="006B046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66.6</w:t>
      </w: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%</w:t>
      </w:r>
    </w:p>
    <w:p w14:paraId="22941E12" w14:textId="7EC03F86" w:rsidR="00937DCB" w:rsidRPr="00937DCB" w:rsidRDefault="00937DCB" w:rsidP="00937DCB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Proportion of male employees receiving a bonus is 9</w:t>
      </w:r>
      <w:r w:rsidR="006B046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2.7</w:t>
      </w: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%</w:t>
      </w:r>
    </w:p>
    <w:p w14:paraId="275253A9" w14:textId="40B58917" w:rsidR="00937DCB" w:rsidRPr="00937DCB" w:rsidRDefault="00937DCB" w:rsidP="00937DCB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Proportion of female employees receiving a bonus is 9</w:t>
      </w:r>
      <w:r w:rsidR="006B0467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4.6</w:t>
      </w:r>
      <w:r w:rsidRPr="00937DCB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%</w:t>
      </w:r>
    </w:p>
    <w:p w14:paraId="329B60DD" w14:textId="77777777" w:rsidR="00937DCB" w:rsidRPr="00937DCB" w:rsidRDefault="00937DCB" w:rsidP="00937DCB">
      <w:p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14:paraId="0DDFCC5D" w14:textId="77777777" w:rsidR="00937DCB" w:rsidRPr="00937DCB" w:rsidRDefault="00937DCB" w:rsidP="00937DCB">
      <w:pPr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</w:pPr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The chart below shows the gender split across the quartiles (</w:t>
      </w:r>
      <w:proofErr w:type="spellStart"/>
      <w:proofErr w:type="gramStart"/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Male:Female</w:t>
      </w:r>
      <w:proofErr w:type="spellEnd"/>
      <w:proofErr w:type="gramEnd"/>
      <w:r w:rsidRPr="00937DCB">
        <w:rPr>
          <w:rFonts w:ascii="Calibri" w:eastAsia="Calibri" w:hAnsi="Calibri" w:cs="Times New Roman"/>
          <w:b/>
          <w:color w:val="auto"/>
          <w:sz w:val="22"/>
          <w:szCs w:val="22"/>
          <w:lang w:eastAsia="en-US"/>
        </w:rPr>
        <w:t>)</w:t>
      </w:r>
    </w:p>
    <w:p w14:paraId="1F9C718A" w14:textId="77777777" w:rsidR="00937DCB" w:rsidRDefault="00937DCB" w:rsidP="0000458D">
      <w:pPr>
        <w:rPr>
          <w:sz w:val="22"/>
          <w:szCs w:val="22"/>
        </w:rPr>
      </w:pPr>
    </w:p>
    <w:p w14:paraId="4FBC8277" w14:textId="0DE5E613" w:rsidR="00937DCB" w:rsidRDefault="00937DCB" w:rsidP="0000458D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47B82E62" wp14:editId="14C9D79E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37DCB" w:rsidSect="006645DF">
      <w:headerReference w:type="default" r:id="rId9"/>
      <w:footerReference w:type="default" r:id="rId10"/>
      <w:pgSz w:w="11906" w:h="16838"/>
      <w:pgMar w:top="1440" w:right="1440" w:bottom="1440" w:left="1134" w:header="72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3C6C1" w14:textId="77777777" w:rsidR="009001C9" w:rsidRDefault="009001C9" w:rsidP="0073408E">
      <w:r>
        <w:separator/>
      </w:r>
    </w:p>
  </w:endnote>
  <w:endnote w:type="continuationSeparator" w:id="0">
    <w:p w14:paraId="6901C37E" w14:textId="77777777" w:rsidR="009001C9" w:rsidRDefault="009001C9" w:rsidP="0073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43B8" w14:textId="77777777" w:rsidR="002F7D52" w:rsidRDefault="002F7D52" w:rsidP="006F433D">
    <w:pPr>
      <w:pStyle w:val="BasicParagraph"/>
      <w:ind w:right="-2"/>
      <w:jc w:val="right"/>
      <w:rPr>
        <w:rFonts w:ascii="Century Gothic" w:hAnsi="Century Gothic"/>
        <w:b/>
        <w:i/>
        <w:color w:val="auto"/>
        <w:sz w:val="16"/>
      </w:rPr>
    </w:pPr>
    <w:r>
      <w:rPr>
        <w:rFonts w:ascii="Century Gothic" w:hAnsi="Century Gothic"/>
        <w:b/>
        <w:i/>
        <w:color w:val="auto"/>
        <w:sz w:val="16"/>
      </w:rPr>
      <w:t>World Class Filtration Solutions</w:t>
    </w:r>
  </w:p>
  <w:p w14:paraId="55E1AE8D" w14:textId="370AB8B5" w:rsidR="002F7D52" w:rsidRDefault="002F7D52" w:rsidP="006F433D">
    <w:pPr>
      <w:pStyle w:val="BodyText2"/>
      <w:spacing w:before="100" w:after="100"/>
      <w:ind w:right="-2"/>
      <w:jc w:val="center"/>
      <w:rPr>
        <w:i/>
        <w:snapToGrid w:val="0"/>
        <w:sz w:val="10"/>
        <w:lang w:val="en-US" w:eastAsia="en-US"/>
      </w:rPr>
    </w:pPr>
    <w:r>
      <w:rPr>
        <w:i/>
        <w:snapToGrid w:val="0"/>
        <w:sz w:val="10"/>
        <w:lang w:eastAsia="en-US"/>
      </w:rPr>
      <w:br/>
    </w:r>
    <w:r w:rsidR="0011475A" w:rsidRPr="0011475A">
      <w:rPr>
        <w:i/>
        <w:snapToGrid w:val="0"/>
        <w:sz w:val="10"/>
        <w:lang w:eastAsia="en-US"/>
      </w:rPr>
      <w:t xml:space="preserve">     Company registered in England and Wales, no. 888596. Registered office: 7 Regis Place, Bergen Way, North Lynn Industrial Estate, King’s Lynn, Norfolk, PE30 2JN, United Kingdom.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F791" w14:textId="77777777" w:rsidR="009001C9" w:rsidRDefault="009001C9" w:rsidP="0073408E">
      <w:r>
        <w:separator/>
      </w:r>
    </w:p>
  </w:footnote>
  <w:footnote w:type="continuationSeparator" w:id="0">
    <w:p w14:paraId="590E4BB8" w14:textId="77777777" w:rsidR="009001C9" w:rsidRDefault="009001C9" w:rsidP="0073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8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6804"/>
      <w:gridCol w:w="2977"/>
    </w:tblGrid>
    <w:tr w:rsidR="002F7D52" w14:paraId="232BC29E" w14:textId="77777777" w:rsidTr="003D056B">
      <w:trPr>
        <w:trHeight w:val="380"/>
      </w:trPr>
      <w:tc>
        <w:tcPr>
          <w:tcW w:w="680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pct15" w:color="auto" w:fill="auto"/>
        </w:tcPr>
        <w:p w14:paraId="098F4388" w14:textId="7C42BFF0" w:rsidR="002F7D52" w:rsidRPr="00531432" w:rsidRDefault="0000458D" w:rsidP="003D056B">
          <w:pPr>
            <w:framePr w:w="10144" w:h="646" w:hSpace="181" w:wrap="notBeside" w:vAnchor="page" w:hAnchor="page" w:x="1163" w:y="840"/>
            <w:spacing w:after="20"/>
          </w:pPr>
          <w:r w:rsidRPr="0000458D">
            <w:rPr>
              <w:rFonts w:ascii="Century Gothic" w:hAnsi="Century Gothic"/>
              <w:b/>
              <w:sz w:val="30"/>
            </w:rPr>
            <w:t>Gender Pay Gap – UK Divisions</w:t>
          </w:r>
        </w:p>
      </w:tc>
      <w:tc>
        <w:tcPr>
          <w:tcW w:w="2977" w:type="dxa"/>
          <w:tcBorders>
            <w:top w:val="nil"/>
            <w:left w:val="single" w:sz="4" w:space="0" w:color="C0C0C0"/>
            <w:bottom w:val="nil"/>
            <w:right w:val="nil"/>
          </w:tcBorders>
        </w:tcPr>
        <w:p w14:paraId="581E72ED" w14:textId="77777777" w:rsidR="002F7D52" w:rsidRPr="00531432" w:rsidRDefault="002F7D52" w:rsidP="003D056B">
          <w:pPr>
            <w:framePr w:w="10144" w:h="646" w:hSpace="181" w:wrap="notBeside" w:vAnchor="page" w:hAnchor="page" w:x="1163" w:y="840"/>
            <w:spacing w:after="20"/>
          </w:pPr>
        </w:p>
      </w:tc>
    </w:tr>
  </w:tbl>
  <w:p w14:paraId="60D5FD0A" w14:textId="77777777" w:rsidR="002F7D52" w:rsidRDefault="002F7D52" w:rsidP="00EC272E">
    <w:pPr>
      <w:pStyle w:val="EnvelopeReturn"/>
      <w:framePr w:w="10144" w:h="646" w:hSpace="181" w:wrap="notBeside" w:vAnchor="page" w:hAnchor="page" w:x="1163" w:y="840"/>
      <w:rPr>
        <w:sz w:val="2"/>
        <w:szCs w:val="2"/>
      </w:rPr>
    </w:pPr>
  </w:p>
  <w:p w14:paraId="0C595A14" w14:textId="77777777" w:rsidR="002F7D52" w:rsidRPr="001B0779" w:rsidRDefault="002F7D52" w:rsidP="00EC272E">
    <w:pPr>
      <w:pStyle w:val="EnvelopeReturn"/>
      <w:framePr w:w="10144" w:h="646" w:hSpace="181" w:wrap="notBeside" w:vAnchor="page" w:hAnchor="page" w:x="1163" w:y="840"/>
      <w:rPr>
        <w:i/>
        <w:sz w:val="6"/>
        <w:szCs w:val="6"/>
      </w:rPr>
    </w:pPr>
  </w:p>
  <w:p w14:paraId="5AE164E4" w14:textId="77777777" w:rsidR="002F7D52" w:rsidRPr="007050AA" w:rsidRDefault="002F7D52" w:rsidP="00EC272E">
    <w:pPr>
      <w:pStyle w:val="BodyText"/>
      <w:framePr w:w="10144" w:h="646" w:hSpace="181" w:wrap="notBeside" w:vAnchor="page" w:hAnchor="page" w:x="1163" w:y="840"/>
      <w:spacing w:after="20"/>
      <w:ind w:right="-2"/>
      <w:rPr>
        <w:sz w:val="2"/>
        <w:szCs w:val="2"/>
      </w:rPr>
    </w:pPr>
  </w:p>
  <w:p w14:paraId="13E85E71" w14:textId="77777777" w:rsidR="002F7D52" w:rsidRDefault="002F7D52" w:rsidP="0073408E">
    <w:pPr>
      <w:pStyle w:val="Header"/>
      <w:tabs>
        <w:tab w:val="clear" w:pos="9026"/>
        <w:tab w:val="right" w:pos="9214"/>
      </w:tabs>
      <w:jc w:val="right"/>
    </w:pPr>
    <w:r>
      <w:rPr>
        <w:noProof/>
        <w:sz w:val="24"/>
      </w:rPr>
      <w:drawing>
        <wp:inline distT="0" distB="0" distL="0" distR="0" wp14:anchorId="3FA36CD7" wp14:editId="7B933B82">
          <wp:extent cx="1454785" cy="501015"/>
          <wp:effectExtent l="0" t="0" r="0" b="0"/>
          <wp:docPr id="2" name="Picture 2" descr="PFG_logo_blk_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G_logo_blk_sm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0DA"/>
    <w:multiLevelType w:val="hybridMultilevel"/>
    <w:tmpl w:val="ADD40A3C"/>
    <w:lvl w:ilvl="0" w:tplc="A22ABAD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3FC"/>
    <w:multiLevelType w:val="hybridMultilevel"/>
    <w:tmpl w:val="D0FA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71F8"/>
    <w:multiLevelType w:val="hybridMultilevel"/>
    <w:tmpl w:val="BA1EC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1929"/>
    <w:multiLevelType w:val="hybridMultilevel"/>
    <w:tmpl w:val="401CCC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9071B"/>
    <w:multiLevelType w:val="hybridMultilevel"/>
    <w:tmpl w:val="ABEA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6A4"/>
    <w:multiLevelType w:val="hybridMultilevel"/>
    <w:tmpl w:val="7834E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76563"/>
    <w:multiLevelType w:val="hybridMultilevel"/>
    <w:tmpl w:val="FED4A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A0BC0"/>
    <w:multiLevelType w:val="hybridMultilevel"/>
    <w:tmpl w:val="0C2E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75839"/>
    <w:multiLevelType w:val="hybridMultilevel"/>
    <w:tmpl w:val="FED4A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46045"/>
    <w:multiLevelType w:val="hybridMultilevel"/>
    <w:tmpl w:val="EAF8E5AA"/>
    <w:lvl w:ilvl="0" w:tplc="850EDC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FE56F4"/>
    <w:multiLevelType w:val="hybridMultilevel"/>
    <w:tmpl w:val="513CBE86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C30A0"/>
    <w:multiLevelType w:val="hybridMultilevel"/>
    <w:tmpl w:val="3504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2707"/>
    <w:multiLevelType w:val="hybridMultilevel"/>
    <w:tmpl w:val="204EA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834ECF"/>
    <w:multiLevelType w:val="hybridMultilevel"/>
    <w:tmpl w:val="1FD0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138B8"/>
    <w:multiLevelType w:val="hybridMultilevel"/>
    <w:tmpl w:val="74A2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372610">
    <w:abstractNumId w:val="14"/>
  </w:num>
  <w:num w:numId="2" w16cid:durableId="54356828">
    <w:abstractNumId w:val="12"/>
  </w:num>
  <w:num w:numId="3" w16cid:durableId="1178739250">
    <w:abstractNumId w:val="3"/>
  </w:num>
  <w:num w:numId="4" w16cid:durableId="2087919478">
    <w:abstractNumId w:val="9"/>
  </w:num>
  <w:num w:numId="5" w16cid:durableId="1905945446">
    <w:abstractNumId w:val="4"/>
  </w:num>
  <w:num w:numId="6" w16cid:durableId="813377366">
    <w:abstractNumId w:val="0"/>
  </w:num>
  <w:num w:numId="7" w16cid:durableId="133452045">
    <w:abstractNumId w:val="10"/>
  </w:num>
  <w:num w:numId="8" w16cid:durableId="234360866">
    <w:abstractNumId w:val="8"/>
  </w:num>
  <w:num w:numId="9" w16cid:durableId="1558013675">
    <w:abstractNumId w:val="6"/>
  </w:num>
  <w:num w:numId="10" w16cid:durableId="1388643430">
    <w:abstractNumId w:val="5"/>
  </w:num>
  <w:num w:numId="11" w16cid:durableId="1547328869">
    <w:abstractNumId w:val="2"/>
  </w:num>
  <w:num w:numId="12" w16cid:durableId="340161297">
    <w:abstractNumId w:val="13"/>
  </w:num>
  <w:num w:numId="13" w16cid:durableId="1161845910">
    <w:abstractNumId w:val="1"/>
  </w:num>
  <w:num w:numId="14" w16cid:durableId="234556362">
    <w:abstractNumId w:val="11"/>
  </w:num>
  <w:num w:numId="15" w16cid:durableId="1050425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8E"/>
    <w:rsid w:val="0000458D"/>
    <w:rsid w:val="000779BD"/>
    <w:rsid w:val="000F2911"/>
    <w:rsid w:val="0010625B"/>
    <w:rsid w:val="0011475A"/>
    <w:rsid w:val="00142A1B"/>
    <w:rsid w:val="00164E6B"/>
    <w:rsid w:val="001650DC"/>
    <w:rsid w:val="001708E9"/>
    <w:rsid w:val="00195062"/>
    <w:rsid w:val="001D2234"/>
    <w:rsid w:val="001F3C5A"/>
    <w:rsid w:val="002252EF"/>
    <w:rsid w:val="00231479"/>
    <w:rsid w:val="002401E7"/>
    <w:rsid w:val="0027658E"/>
    <w:rsid w:val="0027686E"/>
    <w:rsid w:val="00277C3F"/>
    <w:rsid w:val="002809C7"/>
    <w:rsid w:val="002D1840"/>
    <w:rsid w:val="002E6049"/>
    <w:rsid w:val="002E6EBC"/>
    <w:rsid w:val="002F5CCC"/>
    <w:rsid w:val="002F7D52"/>
    <w:rsid w:val="00381942"/>
    <w:rsid w:val="003C6A81"/>
    <w:rsid w:val="003D056B"/>
    <w:rsid w:val="00420DF1"/>
    <w:rsid w:val="00421308"/>
    <w:rsid w:val="00424247"/>
    <w:rsid w:val="0043212C"/>
    <w:rsid w:val="00434016"/>
    <w:rsid w:val="00461AAE"/>
    <w:rsid w:val="005036C3"/>
    <w:rsid w:val="00505167"/>
    <w:rsid w:val="0051519B"/>
    <w:rsid w:val="00534722"/>
    <w:rsid w:val="005374C9"/>
    <w:rsid w:val="00541C44"/>
    <w:rsid w:val="00555C1D"/>
    <w:rsid w:val="00555DED"/>
    <w:rsid w:val="0056378C"/>
    <w:rsid w:val="00584B2E"/>
    <w:rsid w:val="00596684"/>
    <w:rsid w:val="005B7D46"/>
    <w:rsid w:val="005C63C1"/>
    <w:rsid w:val="00621AE8"/>
    <w:rsid w:val="006645DF"/>
    <w:rsid w:val="00686350"/>
    <w:rsid w:val="006B0467"/>
    <w:rsid w:val="006F0285"/>
    <w:rsid w:val="006F06FF"/>
    <w:rsid w:val="006F433D"/>
    <w:rsid w:val="006F67E0"/>
    <w:rsid w:val="00705427"/>
    <w:rsid w:val="00707B64"/>
    <w:rsid w:val="007100C5"/>
    <w:rsid w:val="007141F9"/>
    <w:rsid w:val="0073408E"/>
    <w:rsid w:val="00764EAB"/>
    <w:rsid w:val="0078658E"/>
    <w:rsid w:val="007874AB"/>
    <w:rsid w:val="007875AD"/>
    <w:rsid w:val="007B3A08"/>
    <w:rsid w:val="007E04F8"/>
    <w:rsid w:val="007E1DA1"/>
    <w:rsid w:val="007E351B"/>
    <w:rsid w:val="00840CB8"/>
    <w:rsid w:val="00851022"/>
    <w:rsid w:val="00864A7A"/>
    <w:rsid w:val="00876313"/>
    <w:rsid w:val="008F7C51"/>
    <w:rsid w:val="009001C9"/>
    <w:rsid w:val="00906B13"/>
    <w:rsid w:val="00915F59"/>
    <w:rsid w:val="00937DCB"/>
    <w:rsid w:val="00943625"/>
    <w:rsid w:val="00972570"/>
    <w:rsid w:val="00985017"/>
    <w:rsid w:val="009A78AE"/>
    <w:rsid w:val="009B6F6B"/>
    <w:rsid w:val="009D485B"/>
    <w:rsid w:val="009F320E"/>
    <w:rsid w:val="00A356CC"/>
    <w:rsid w:val="00A713EE"/>
    <w:rsid w:val="00AA4687"/>
    <w:rsid w:val="00AD3A00"/>
    <w:rsid w:val="00AD4D75"/>
    <w:rsid w:val="00AF06E9"/>
    <w:rsid w:val="00B064F6"/>
    <w:rsid w:val="00B06800"/>
    <w:rsid w:val="00B44954"/>
    <w:rsid w:val="00B51F73"/>
    <w:rsid w:val="00B63B78"/>
    <w:rsid w:val="00B765FD"/>
    <w:rsid w:val="00B911B0"/>
    <w:rsid w:val="00B93F70"/>
    <w:rsid w:val="00BA39EC"/>
    <w:rsid w:val="00BA50E6"/>
    <w:rsid w:val="00BE61FF"/>
    <w:rsid w:val="00C478A3"/>
    <w:rsid w:val="00C53329"/>
    <w:rsid w:val="00C82EE4"/>
    <w:rsid w:val="00C8755B"/>
    <w:rsid w:val="00CD4C7C"/>
    <w:rsid w:val="00D560EA"/>
    <w:rsid w:val="00D70591"/>
    <w:rsid w:val="00D81D9A"/>
    <w:rsid w:val="00D861D1"/>
    <w:rsid w:val="00DA0F88"/>
    <w:rsid w:val="00DA6675"/>
    <w:rsid w:val="00DB4D63"/>
    <w:rsid w:val="00DC204D"/>
    <w:rsid w:val="00DF73F6"/>
    <w:rsid w:val="00E158D7"/>
    <w:rsid w:val="00E24228"/>
    <w:rsid w:val="00E33562"/>
    <w:rsid w:val="00E55B17"/>
    <w:rsid w:val="00E571FE"/>
    <w:rsid w:val="00E876FB"/>
    <w:rsid w:val="00EA0122"/>
    <w:rsid w:val="00EA7FF0"/>
    <w:rsid w:val="00EC272E"/>
    <w:rsid w:val="00F05CCD"/>
    <w:rsid w:val="00F231F0"/>
    <w:rsid w:val="00F576B5"/>
    <w:rsid w:val="00FA0F8F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6ECA8C8"/>
  <w15:docId w15:val="{31E15C9B-8009-4DA4-A580-5B4302D6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08E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3408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3408E"/>
    <w:rPr>
      <w:rFonts w:ascii="Arial" w:eastAsia="Times New Roman" w:hAnsi="Arial" w:cs="Arial"/>
      <w:color w:val="000000" w:themeColor="text1"/>
      <w:sz w:val="24"/>
      <w:szCs w:val="16"/>
      <w:lang w:eastAsia="en-GB"/>
    </w:rPr>
  </w:style>
  <w:style w:type="paragraph" w:styleId="EnvelopeReturn">
    <w:name w:val="envelope return"/>
    <w:basedOn w:val="Normal"/>
    <w:semiHidden/>
    <w:rsid w:val="0073408E"/>
  </w:style>
  <w:style w:type="paragraph" w:styleId="Header">
    <w:name w:val="header"/>
    <w:basedOn w:val="Normal"/>
    <w:link w:val="HeaderChar"/>
    <w:uiPriority w:val="99"/>
    <w:unhideWhenUsed/>
    <w:rsid w:val="00734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8E"/>
    <w:rPr>
      <w:rFonts w:ascii="Arial" w:eastAsia="Times New Roman" w:hAnsi="Arial" w:cs="Arial"/>
      <w:color w:val="000000" w:themeColor="text1"/>
      <w:sz w:val="18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4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8E"/>
    <w:rPr>
      <w:rFonts w:ascii="Arial" w:eastAsia="Times New Roman" w:hAnsi="Arial" w:cs="Arial"/>
      <w:color w:val="000000" w:themeColor="text1"/>
      <w:sz w:val="18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8E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8E"/>
    <w:rPr>
      <w:rFonts w:ascii="Tahoma" w:eastAsia="Times New Roman" w:hAnsi="Tahoma" w:cs="Tahoma"/>
      <w:color w:val="000000" w:themeColor="text1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6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1D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F43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433D"/>
    <w:rPr>
      <w:rFonts w:ascii="Arial" w:eastAsia="Times New Roman" w:hAnsi="Arial" w:cs="Arial"/>
      <w:color w:val="000000" w:themeColor="text1"/>
      <w:sz w:val="18"/>
      <w:szCs w:val="16"/>
      <w:lang w:eastAsia="en-GB"/>
    </w:rPr>
  </w:style>
  <w:style w:type="paragraph" w:customStyle="1" w:styleId="BasicParagraph">
    <w:name w:val="[Basic Paragraph]"/>
    <w:basedOn w:val="Normal"/>
    <w:uiPriority w:val="99"/>
    <w:rsid w:val="006F433D"/>
    <w:pPr>
      <w:spacing w:line="288" w:lineRule="auto"/>
    </w:pPr>
    <w:rPr>
      <w:snapToGrid w:val="0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5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Lower quartile</c:v>
                </c:pt>
                <c:pt idx="1">
                  <c:v>Lower middle quartile</c:v>
                </c:pt>
                <c:pt idx="2">
                  <c:v>Upper middle quartile</c:v>
                </c:pt>
                <c:pt idx="3">
                  <c:v>Top quartile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63.2</c:v>
                </c:pt>
                <c:pt idx="1">
                  <c:v>71.900000000000006</c:v>
                </c:pt>
                <c:pt idx="2">
                  <c:v>87.7</c:v>
                </c:pt>
                <c:pt idx="3">
                  <c:v>82.1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F-40EA-965B-5350F39DEB9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Lower quartile</c:v>
                </c:pt>
                <c:pt idx="1">
                  <c:v>Lower middle quartile</c:v>
                </c:pt>
                <c:pt idx="2">
                  <c:v>Upper middle quartile</c:v>
                </c:pt>
                <c:pt idx="3">
                  <c:v>Top quartile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36.799999999999997</c:v>
                </c:pt>
                <c:pt idx="1">
                  <c:v>28.1</c:v>
                </c:pt>
                <c:pt idx="2">
                  <c:v>12.3</c:v>
                </c:pt>
                <c:pt idx="3">
                  <c:v>17.899999999999999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DF-40EA-965B-5350F39DEB9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Lower quartile</c:v>
                </c:pt>
                <c:pt idx="1">
                  <c:v>Lower middle quartile</c:v>
                </c:pt>
                <c:pt idx="2">
                  <c:v>Upper middle quartile</c:v>
                </c:pt>
                <c:pt idx="3">
                  <c:v>Top quartile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EDF-40EA-965B-5350F39DEB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491136"/>
        <c:axId val="150492672"/>
      </c:barChart>
      <c:catAx>
        <c:axId val="150491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92672"/>
        <c:crosses val="autoZero"/>
        <c:auto val="1"/>
        <c:lblAlgn val="ctr"/>
        <c:lblOffset val="100"/>
        <c:noMultiLvlLbl val="0"/>
      </c:catAx>
      <c:valAx>
        <c:axId val="15049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49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043E-98D0-42EC-BF41-587E0E39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Kate</dc:creator>
  <cp:lastModifiedBy>Spottiswood, Sam</cp:lastModifiedBy>
  <cp:revision>2</cp:revision>
  <cp:lastPrinted>2020-02-19T15:39:00Z</cp:lastPrinted>
  <dcterms:created xsi:type="dcterms:W3CDTF">2023-03-06T17:04:00Z</dcterms:created>
  <dcterms:modified xsi:type="dcterms:W3CDTF">2023-03-06T17:04:00Z</dcterms:modified>
</cp:coreProperties>
</file>